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EBC73" w14:textId="28B32A9B" w:rsidR="00273D92" w:rsidRDefault="00273D92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 w:rsidRPr="00273D92">
        <w:rPr>
          <w:rFonts w:ascii="Segoe UI" w:eastAsia="Times New Roman" w:hAnsi="Segoe UI" w:cs="Segoe UI"/>
          <w:b/>
          <w:sz w:val="32"/>
          <w:szCs w:val="32"/>
          <w:lang w:eastAsia="es-DO"/>
        </w:rPr>
        <w:t xml:space="preserve">Ficha Técnica </w:t>
      </w:r>
    </w:p>
    <w:p w14:paraId="7C763540" w14:textId="77777777" w:rsidR="00365A0E" w:rsidRPr="00273D92" w:rsidRDefault="00365A0E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</w:p>
    <w:p w14:paraId="17C05196" w14:textId="276CD159" w:rsidR="00273D92" w:rsidRDefault="00A8460A" w:rsidP="00365A0E">
      <w:pPr>
        <w:spacing w:after="0" w:line="0" w:lineRule="atLeast"/>
        <w:rPr>
          <w:rFonts w:ascii="Segoe UI" w:eastAsia="Times New Roman" w:hAnsi="Segoe UI" w:cs="Segoe UI"/>
          <w:b/>
          <w:sz w:val="24"/>
          <w:szCs w:val="20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Referencia: HGDVC-DA</w:t>
      </w:r>
      <w:r w:rsidR="00D02B9F">
        <w:rPr>
          <w:rFonts w:ascii="Segoe UI" w:eastAsia="Times New Roman" w:hAnsi="Segoe UI" w:cs="Segoe UI"/>
          <w:b/>
          <w:sz w:val="24"/>
          <w:szCs w:val="20"/>
          <w:lang w:eastAsia="es-DO"/>
        </w:rPr>
        <w:t>F-CM-2022</w:t>
      </w:r>
      <w:r w:rsidR="00273D92" w:rsidRPr="00273D92">
        <w:rPr>
          <w:rFonts w:ascii="Segoe UI" w:eastAsia="Times New Roman" w:hAnsi="Segoe UI" w:cs="Segoe UI"/>
          <w:b/>
          <w:sz w:val="24"/>
          <w:szCs w:val="20"/>
          <w:lang w:eastAsia="es-DO"/>
        </w:rPr>
        <w:t>-0</w:t>
      </w:r>
      <w:r w:rsidR="00365A0E">
        <w:rPr>
          <w:rFonts w:ascii="Segoe UI" w:eastAsia="Times New Roman" w:hAnsi="Segoe UI" w:cs="Segoe UI"/>
          <w:b/>
          <w:sz w:val="24"/>
          <w:szCs w:val="20"/>
          <w:lang w:eastAsia="es-DO"/>
        </w:rPr>
        <w:t>11</w:t>
      </w:r>
      <w:r w:rsidR="003B50CC">
        <w:rPr>
          <w:rFonts w:ascii="Segoe UI" w:eastAsia="Times New Roman" w:hAnsi="Segoe UI" w:cs="Segoe UI"/>
          <w:b/>
          <w:sz w:val="24"/>
          <w:szCs w:val="20"/>
          <w:lang w:eastAsia="es-DO"/>
        </w:rPr>
        <w:t>6</w:t>
      </w:r>
    </w:p>
    <w:p w14:paraId="5DE5DA40" w14:textId="4DBFB230" w:rsidR="00365A0E" w:rsidRPr="00273D92" w:rsidRDefault="00365A0E" w:rsidP="00365A0E">
      <w:pPr>
        <w:spacing w:after="0" w:line="0" w:lineRule="atLeast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Proceso: Compra menor</w:t>
      </w:r>
    </w:p>
    <w:p w14:paraId="480697BF" w14:textId="77777777" w:rsid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4168E309" w14:textId="77777777" w:rsidR="00365A0E" w:rsidRDefault="00365A0E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69667E82" w14:textId="77777777" w:rsidR="00365A0E" w:rsidRPr="000126FF" w:rsidRDefault="00365A0E" w:rsidP="00365A0E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Objetivo del proceso</w:t>
      </w:r>
    </w:p>
    <w:p w14:paraId="36A80AC3" w14:textId="0DBF31D4" w:rsidR="00365A0E" w:rsidRPr="000126FF" w:rsidRDefault="00365A0E" w:rsidP="00365A0E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El objetivo del presente documento es establecer el conjunto de cláusulas jurídicas, económicas, técnicas y administrativas, de naturaleza reglamentaria, por el que se fijan  los requisitos, exigencias, facultades, derechos y obligaciones de las personas naturales o  jurídicas, nacionales o extranjeras, que deseen participar en la Compra Menor  para la Adquisición de </w:t>
      </w:r>
      <w:r>
        <w:rPr>
          <w:rFonts w:ascii="Segoe UI" w:hAnsi="Segoe UI" w:cs="Segoe UI"/>
          <w:b/>
        </w:rPr>
        <w:t xml:space="preserve">MATERIALES </w:t>
      </w:r>
      <w:r w:rsidR="003B50CC">
        <w:rPr>
          <w:rFonts w:ascii="Segoe UI" w:hAnsi="Segoe UI" w:cs="Segoe UI"/>
          <w:b/>
        </w:rPr>
        <w:t>GASTABLE MEDICO</w:t>
      </w:r>
      <w:r>
        <w:rPr>
          <w:rFonts w:ascii="Segoe UI" w:hAnsi="Segoe UI" w:cs="Segoe UI"/>
        </w:rPr>
        <w:t>,</w:t>
      </w:r>
      <w:r w:rsidRPr="000126FF">
        <w:rPr>
          <w:rFonts w:ascii="Segoe UI" w:hAnsi="Segoe UI" w:cs="Segoe UI"/>
        </w:rPr>
        <w:t xml:space="preserve"> llevada a cabo por el Hospital General Dr. Vinicio Calventi.</w:t>
      </w:r>
    </w:p>
    <w:p w14:paraId="27FA228C" w14:textId="77777777" w:rsidR="00365A0E" w:rsidRPr="000126FF" w:rsidRDefault="00365A0E" w:rsidP="00365A0E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Este documento constituye la base para la preparación de las Ofertas. Si el Oferente/Proponente omite suministrar alguna parte de la información requerida en la presente Ficha Técnica de Condiciones Específicas o presenta una información que no se ajuste sustancialmente en todos sus aspectos al mismo, el riesgo estará a su cargo y el resultado podrá ser el rechazo de su Propuesta.</w:t>
      </w:r>
    </w:p>
    <w:p w14:paraId="33D0B96E" w14:textId="77777777" w:rsidR="00365A0E" w:rsidRPr="00273D92" w:rsidRDefault="00365A0E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3FF85354" w14:textId="77777777" w:rsidR="00273D92" w:rsidRP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Segoe UI" w:eastAsia="Calibri" w:hAnsi="Segoe UI" w:cs="Segoe UI"/>
          <w:b/>
        </w:rPr>
      </w:pPr>
    </w:p>
    <w:p w14:paraId="44C24B95" w14:textId="2BD1D53C" w:rsidR="00DA0ACC" w:rsidRDefault="00273D92" w:rsidP="00DA0ACC">
      <w:pPr>
        <w:numPr>
          <w:ilvl w:val="0"/>
          <w:numId w:val="2"/>
        </w:num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 w:rsidRPr="00273D92">
        <w:rPr>
          <w:rFonts w:ascii="Segoe UI" w:eastAsia="Calibri" w:hAnsi="Segoe UI" w:cs="Segoe UI"/>
          <w:b/>
          <w:lang w:eastAsia="es-DO"/>
        </w:rPr>
        <w:t>Especificaciones:</w:t>
      </w:r>
    </w:p>
    <w:tbl>
      <w:tblPr>
        <w:tblW w:w="96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1418"/>
        <w:gridCol w:w="1417"/>
      </w:tblGrid>
      <w:tr w:rsidR="003B50CC" w:rsidRPr="003B50CC" w14:paraId="5BDD745B" w14:textId="77777777" w:rsidTr="003B50CC">
        <w:trPr>
          <w:trHeight w:val="93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2047DE42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3B50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02657E8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3B50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Unidad de Medida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A070F29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3B50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Cantidad Solicitada</w:t>
            </w:r>
          </w:p>
        </w:tc>
      </w:tr>
      <w:tr w:rsidR="003B50CC" w:rsidRPr="003B50CC" w14:paraId="4F9A6607" w14:textId="77777777" w:rsidTr="003B50CC">
        <w:trPr>
          <w:trHeight w:val="295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5B4D4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0C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BAJANTE DE BOMBA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06D4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3B50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DB660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3B50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2000</w:t>
            </w:r>
          </w:p>
        </w:tc>
      </w:tr>
      <w:tr w:rsidR="003B50CC" w:rsidRPr="003B50CC" w14:paraId="7B1707D1" w14:textId="77777777" w:rsidTr="003B50CC">
        <w:trPr>
          <w:trHeight w:val="195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8FC9F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0C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BAJANTE DE SUERO NORMAL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570D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3B50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847CB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3B50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4000</w:t>
            </w:r>
          </w:p>
        </w:tc>
      </w:tr>
      <w:tr w:rsidR="003B50CC" w:rsidRPr="003B50CC" w14:paraId="3A592EE1" w14:textId="77777777" w:rsidTr="003B50CC">
        <w:trPr>
          <w:trHeight w:val="32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3CB4C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0C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SELLO DE  AGUA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EB83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3B50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9F6AD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3B50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50</w:t>
            </w:r>
          </w:p>
        </w:tc>
      </w:tr>
      <w:tr w:rsidR="003B50CC" w:rsidRPr="003B50CC" w14:paraId="179CCCC6" w14:textId="77777777" w:rsidTr="003B50CC">
        <w:trPr>
          <w:trHeight w:val="275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83419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0C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HILO VICRYL POLIGRATIN 3.0 AGU CURVA ROMA 1/2 22MM 70CM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6C10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3B50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57881" w14:textId="77777777" w:rsidR="003B50CC" w:rsidRPr="003B50CC" w:rsidRDefault="003B50CC" w:rsidP="003B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3B50CC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500</w:t>
            </w:r>
          </w:p>
        </w:tc>
      </w:tr>
    </w:tbl>
    <w:p w14:paraId="2BEE2EAC" w14:textId="77777777" w:rsidR="00DA0ACC" w:rsidRPr="00DA0ACC" w:rsidRDefault="00DA0ACC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33F689BA" w14:textId="77777777" w:rsidR="00273D92" w:rsidRDefault="00273D92" w:rsidP="00273D92">
      <w:pPr>
        <w:spacing w:after="0" w:line="240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1BAE59F9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Criterios de adjudicación </w:t>
      </w:r>
    </w:p>
    <w:p w14:paraId="0ABE5710" w14:textId="77777777" w:rsidR="00BC7954" w:rsidRPr="000126FF" w:rsidRDefault="00BC7954" w:rsidP="00BC7954">
      <w:pPr>
        <w:spacing w:line="276" w:lineRule="auto"/>
        <w:ind w:left="360" w:right="260"/>
        <w:jc w:val="both"/>
        <w:rPr>
          <w:rFonts w:ascii="Segoe UI" w:hAnsi="Segoe UI" w:cs="Segoe UI"/>
          <w:b/>
        </w:rPr>
      </w:pPr>
    </w:p>
    <w:p w14:paraId="431EBDBB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Las ofertas serán evaluadas dando cumplimiento a los principios de transparencia, objetividad, economía, celeridad y demás, que regulan la actividad contractual. La </w:t>
      </w:r>
      <w:r w:rsidRPr="000126FF">
        <w:rPr>
          <w:rFonts w:ascii="Segoe UI" w:hAnsi="Segoe UI" w:cs="Segoe UI"/>
        </w:rPr>
        <w:lastRenderedPageBreak/>
        <w:t xml:space="preserve">adjudicación será dedicada a favor del oferente/proponente cuya propuesta cumpla con todos los requisitos exigidos y sea calificada como las más convenientes para los interesados institucionales. </w:t>
      </w:r>
    </w:p>
    <w:p w14:paraId="0D617C43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6FE8DB3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Se tomara a consideración las propuestas que cumplan con todos los bienes solicitados y mejor oferta economía. </w:t>
      </w:r>
    </w:p>
    <w:p w14:paraId="285945C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</w:rPr>
        <w:t xml:space="preserve">Las Propuestas deberán contener la documentación necesaria, suficiente y fehaciente para demostrar los siguientes aspectos que serán verificados bajo la modalidad </w:t>
      </w:r>
      <w:r w:rsidRPr="000126FF">
        <w:rPr>
          <w:rFonts w:ascii="Segoe UI" w:hAnsi="Segoe UI" w:cs="Segoe UI"/>
          <w:b/>
        </w:rPr>
        <w:t xml:space="preserve">“CUMPLE/ NO CUMPLE”: </w:t>
      </w:r>
    </w:p>
    <w:p w14:paraId="3F842AB7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Elegibilidad:</w:t>
      </w:r>
      <w:r w:rsidRPr="000126FF">
        <w:rPr>
          <w:rFonts w:ascii="Segoe UI" w:hAnsi="Segoe UI" w:cs="Segoe UI"/>
        </w:rPr>
        <w:t xml:space="preserve"> Que el Proponente está legalmente autorizado para realizar sus actividades comerciales en el país.</w:t>
      </w:r>
    </w:p>
    <w:p w14:paraId="3B2D603A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Capacidad Técnica</w:t>
      </w:r>
      <w:r w:rsidRPr="000126FF">
        <w:rPr>
          <w:rFonts w:ascii="Segoe UI" w:hAnsi="Segoe UI" w:cs="Segoe UI"/>
        </w:rPr>
        <w:t>: Que los Bienes cumplan con las todas características especificadas en las Fichas Técnicas.</w:t>
      </w:r>
    </w:p>
    <w:p w14:paraId="3CBCCA4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Precio:</w:t>
      </w:r>
      <w:r w:rsidRPr="000126FF">
        <w:rPr>
          <w:rFonts w:ascii="Segoe UI" w:hAnsi="Segoe UI" w:cs="Segoe UI"/>
        </w:rPr>
        <w:t xml:space="preserve"> La oferta más conveniente y de calidad para los intereses institucionales. </w:t>
      </w:r>
    </w:p>
    <w:p w14:paraId="2D09E99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Disponibilidad Entrega del Bien o Servicio</w:t>
      </w:r>
      <w:r w:rsidRPr="000126FF">
        <w:rPr>
          <w:rFonts w:ascii="Segoe UI" w:hAnsi="Segoe UI" w:cs="Segoe UI"/>
        </w:rPr>
        <w:t>: De manera inmediata una vez remitida la Orden de Compra.</w:t>
      </w:r>
    </w:p>
    <w:p w14:paraId="7052BC1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31078D3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NOTA:</w:t>
      </w:r>
      <w:r w:rsidRPr="000126FF">
        <w:rPr>
          <w:rFonts w:ascii="Segoe UI" w:hAnsi="Segoe UI" w:cs="Segoe UI"/>
        </w:rPr>
        <w:t xml:space="preserve"> el departamento de compras podrá elegir al oferente que considere brinda una mejor oferta que en su totalidad de bienes, pudiendo adjudicar por lotes y no por ítem. </w:t>
      </w:r>
    </w:p>
    <w:p w14:paraId="09C1210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4AFDFE56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Entrega de los bienes a adjudicar</w:t>
      </w:r>
    </w:p>
    <w:p w14:paraId="2E8F411C" w14:textId="3D54EEBF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Los bienes adjudicados serán entregados </w:t>
      </w:r>
      <w:r>
        <w:rPr>
          <w:rFonts w:ascii="Segoe UI" w:hAnsi="Segoe UI" w:cs="Segoe UI"/>
        </w:rPr>
        <w:t xml:space="preserve">en un máximo de dos días luego de la notificación de adjudicación </w:t>
      </w:r>
      <w:r w:rsidRPr="000126FF">
        <w:rPr>
          <w:rFonts w:ascii="Segoe UI" w:hAnsi="Segoe UI" w:cs="Segoe UI"/>
        </w:rPr>
        <w:t xml:space="preserve">en el </w:t>
      </w:r>
      <w:r>
        <w:rPr>
          <w:rFonts w:ascii="Segoe UI" w:hAnsi="Segoe UI" w:cs="Segoe UI"/>
        </w:rPr>
        <w:t xml:space="preserve">área de </w:t>
      </w:r>
      <w:r w:rsidR="003B50CC">
        <w:rPr>
          <w:rFonts w:ascii="Segoe UI" w:hAnsi="Segoe UI" w:cs="Segoe UI"/>
        </w:rPr>
        <w:t>almacén</w:t>
      </w:r>
      <w:bookmarkStart w:id="0" w:name="_GoBack"/>
      <w:bookmarkEnd w:id="0"/>
      <w:r w:rsidR="003B50CC">
        <w:rPr>
          <w:rFonts w:ascii="Segoe UI" w:hAnsi="Segoe UI" w:cs="Segoe UI"/>
        </w:rPr>
        <w:t xml:space="preserve"> de farmacia</w:t>
      </w:r>
      <w:r w:rsidRPr="000126FF">
        <w:rPr>
          <w:rFonts w:ascii="Segoe UI" w:hAnsi="Segoe UI" w:cs="Segoe UI"/>
        </w:rPr>
        <w:t xml:space="preserve">  del Hospital General Dr. Vinicio Calventi, ubicado en el primer piso en la parte de atrás.</w:t>
      </w:r>
      <w:r>
        <w:rPr>
          <w:rFonts w:ascii="Segoe UI" w:hAnsi="Segoe UI" w:cs="Segoe UI"/>
        </w:rPr>
        <w:t xml:space="preserve"> </w:t>
      </w:r>
      <w:r w:rsidRPr="000126FF">
        <w:rPr>
          <w:rFonts w:ascii="Segoe UI" w:hAnsi="Segoe UI" w:cs="Segoe UI"/>
        </w:rPr>
        <w:t>El horario de entrega de los bienes es de lunes a viernes de 8:00 a.m. a 2:00 p.m.</w:t>
      </w:r>
    </w:p>
    <w:p w14:paraId="48ABA7B1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Facturación y condiciones de pago</w:t>
      </w:r>
    </w:p>
    <w:p w14:paraId="343DE3E7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El Hospital General Dr. Vinicio Calventi realizará los pagos en un plazo no mayor de 90 a 120 días aproximadamente. Al entregar su propuesta, el oferte acepta que el pago de esta será a </w:t>
      </w:r>
      <w:r w:rsidRPr="000126FF">
        <w:rPr>
          <w:rFonts w:ascii="Segoe UI" w:hAnsi="Segoe UI" w:cs="Segoe UI"/>
        </w:rPr>
        <w:lastRenderedPageBreak/>
        <w:t xml:space="preserve">crédito. Las facturas deben ser remitidas y selladas en original en el almacén de Farmacia  del Hospital General Dr. Vinicio Calventi, RNC no. 430043419 con NCF Gubernamental. </w:t>
      </w:r>
    </w:p>
    <w:p w14:paraId="455CF50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1A31CF4A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Responsabilidad del Proveedor</w:t>
      </w:r>
    </w:p>
    <w:p w14:paraId="4275C66C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Proveer todos los bienes de acuerdo con el tiempo de entrega establecido.</w:t>
      </w:r>
    </w:p>
    <w:p w14:paraId="3B49F414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Obrar con lealtad y buena fe en el suministro de los bienes o servicios objeto de la contratación, evitando dilaciones;</w:t>
      </w:r>
    </w:p>
    <w:p w14:paraId="1F256AC0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No aplicar a la oferta si no podrá entregar los bienes adjudicados de forma inmediata.</w:t>
      </w:r>
    </w:p>
    <w:p w14:paraId="797D0629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4C625EDC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Rectificaciones Aritméticas </w:t>
      </w:r>
    </w:p>
    <w:p w14:paraId="04373157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Para fines de subsanaciones, los errores aritméticos serán corregidos de la siguiente manera: </w:t>
      </w:r>
    </w:p>
    <w:p w14:paraId="546C931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existiere una discrepancia entre una cantidad parcial y la cantidad total obtenida multiplicando las cantidades parciales, prevalecerá la cantidad parcial y el total será corregido. </w:t>
      </w:r>
    </w:p>
    <w:p w14:paraId="60AB1B3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la discrepancia resulta de un error de suma o resta, se procederá de igual manera; esto es, prevaleciendo las cantidades parciales y corrigiendo los totales. </w:t>
      </w:r>
    </w:p>
    <w:p w14:paraId="1F40EE5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existiere una discrepancia entre palabras y cifras, prevalecerá el monto expresado en palabras. </w:t>
      </w:r>
    </w:p>
    <w:p w14:paraId="5A74933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*Si el Oferente no acepta la corrección de los errores, su Oferta será rechazada.</w:t>
      </w:r>
    </w:p>
    <w:p w14:paraId="4540A6D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613F2575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a Presentar:</w:t>
      </w:r>
    </w:p>
    <w:p w14:paraId="4E8CDD3C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0D101793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Legal y Técnica:</w:t>
      </w:r>
    </w:p>
    <w:p w14:paraId="3D650E89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Formulario de Información sobre el Oferente (SNCC.F.042)</w:t>
      </w:r>
    </w:p>
    <w:p w14:paraId="68EB7715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Registro de Proveedores del Estado (RPE) con documentos legales-administrativos actualizados, emitido por la Dirección General de Contrataciones Públicas.</w:t>
      </w:r>
    </w:p>
    <w:p w14:paraId="2C444E40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Comunicación con la aceptación de los tiempos de entrega y las condiciones de pago establecidas.</w:t>
      </w:r>
    </w:p>
    <w:p w14:paraId="537ABD1F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lastRenderedPageBreak/>
        <w:t>Oferta Técnica (conforme a las especificaciones técnicas suministradas)</w:t>
      </w:r>
    </w:p>
    <w:p w14:paraId="26B6403B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Formulario de Entrega de Muestra (SNCC.F.056), si procede.</w:t>
      </w:r>
    </w:p>
    <w:p w14:paraId="38CAD57A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Autorización del Fabricante en los casos de que los Bienes no sean fabricados por el Oferente (SNCC.F.047), si procede.</w:t>
      </w:r>
    </w:p>
    <w:p w14:paraId="586C6C15" w14:textId="77777777" w:rsidR="00BC7954" w:rsidRPr="000126FF" w:rsidRDefault="00BC7954" w:rsidP="00BC7954">
      <w:pPr>
        <w:spacing w:line="276" w:lineRule="auto"/>
        <w:ind w:left="360" w:right="260"/>
        <w:jc w:val="both"/>
        <w:rPr>
          <w:rFonts w:ascii="Segoe UI" w:hAnsi="Segoe UI" w:cs="Segoe UI"/>
        </w:rPr>
      </w:pPr>
    </w:p>
    <w:p w14:paraId="527B356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económica:</w:t>
      </w:r>
    </w:p>
    <w:p w14:paraId="65BE54F2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Cotización (Valida por 30 días).</w:t>
      </w:r>
    </w:p>
    <w:p w14:paraId="51CDC485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Certificación actualizada y legible de la Dirección General de Impuestos Internos (DGII).</w:t>
      </w:r>
    </w:p>
    <w:p w14:paraId="5DF8FEC7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Certificación de pago de la Tesorería de la Seguridad Social de la empresa (TSS).</w:t>
      </w:r>
    </w:p>
    <w:p w14:paraId="3452F7AD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  <w:b/>
        </w:rPr>
      </w:pPr>
    </w:p>
    <w:p w14:paraId="6DF48A73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Errores nos subsanables </w:t>
      </w:r>
    </w:p>
    <w:p w14:paraId="470BB558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Cotizaciones que no contengan todos los documentos solicitados. </w:t>
      </w:r>
    </w:p>
    <w:p w14:paraId="2738CBA2" w14:textId="77777777" w:rsidR="00BC7954" w:rsidRPr="000126FF" w:rsidRDefault="00BC7954" w:rsidP="00BC7954">
      <w:pPr>
        <w:spacing w:line="276" w:lineRule="auto"/>
        <w:ind w:left="720"/>
        <w:jc w:val="both"/>
        <w:rPr>
          <w:rFonts w:ascii="Segoe UI" w:hAnsi="Segoe UI" w:cs="Segoe UI"/>
        </w:rPr>
      </w:pPr>
    </w:p>
    <w:p w14:paraId="48E8D773" w14:textId="77777777" w:rsidR="00BC7954" w:rsidRPr="000126FF" w:rsidRDefault="00BC7954" w:rsidP="00BC7954">
      <w:pPr>
        <w:numPr>
          <w:ilvl w:val="0"/>
          <w:numId w:val="2"/>
        </w:numPr>
        <w:tabs>
          <w:tab w:val="left" w:pos="480"/>
        </w:tabs>
        <w:spacing w:after="0" w:line="276" w:lineRule="auto"/>
        <w:jc w:val="both"/>
        <w:rPr>
          <w:rFonts w:ascii="Segoe UI" w:hAnsi="Segoe UI" w:cs="Segoe UI"/>
          <w:b/>
        </w:rPr>
      </w:pPr>
      <w:bookmarkStart w:id="1" w:name="page2"/>
      <w:bookmarkEnd w:id="1"/>
      <w:r w:rsidRPr="000126FF">
        <w:rPr>
          <w:rFonts w:ascii="Segoe UI" w:hAnsi="Segoe UI" w:cs="Segoe UI"/>
          <w:b/>
        </w:rPr>
        <w:t>Vías de contacto</w:t>
      </w:r>
    </w:p>
    <w:p w14:paraId="799F5BDF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Para cualquier consulta o aclaración los datos de contacto son los siguientes: </w:t>
      </w:r>
    </w:p>
    <w:p w14:paraId="71946BC0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Departamento de compras</w:t>
      </w:r>
    </w:p>
    <w:p w14:paraId="65F69AC3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Email: </w:t>
      </w:r>
      <w:hyperlink r:id="rId8" w:history="1">
        <w:r w:rsidRPr="000126FF">
          <w:rPr>
            <w:rStyle w:val="Hipervnculo"/>
            <w:rFonts w:ascii="Segoe UI" w:hAnsi="Segoe UI" w:cs="Segoe UI"/>
          </w:rPr>
          <w:t>compras.calventi@gmail.com</w:t>
        </w:r>
      </w:hyperlink>
    </w:p>
    <w:p w14:paraId="409C07FA" w14:textId="77777777" w:rsidR="00BC7954" w:rsidRPr="000126FF" w:rsidRDefault="00BC7954" w:rsidP="00BC7954">
      <w:pPr>
        <w:ind w:right="260"/>
        <w:jc w:val="both"/>
        <w:rPr>
          <w:rFonts w:ascii="Segoe UI" w:hAnsi="Segoe UI" w:cs="Segoe UI"/>
        </w:rPr>
      </w:pPr>
    </w:p>
    <w:p w14:paraId="3CEAD331" w14:textId="77777777" w:rsidR="00BC7954" w:rsidRDefault="00BC7954" w:rsidP="00BC7954">
      <w:pPr>
        <w:autoSpaceDE w:val="0"/>
        <w:autoSpaceDN w:val="0"/>
        <w:adjustRightInd w:val="0"/>
        <w:ind w:left="-709"/>
        <w:rPr>
          <w:rFonts w:ascii="Segoe UI" w:hAnsi="Segoe UI" w:cs="Segoe UI"/>
        </w:rPr>
      </w:pPr>
    </w:p>
    <w:p w14:paraId="61D6BDE7" w14:textId="77777777" w:rsidR="00D02B9F" w:rsidRPr="00273D92" w:rsidRDefault="00D02B9F" w:rsidP="00BC7954">
      <w:pPr>
        <w:spacing w:after="0" w:line="0" w:lineRule="atLeast"/>
        <w:jc w:val="both"/>
        <w:rPr>
          <w:rFonts w:ascii="Segoe UI" w:eastAsia="Calibri" w:hAnsi="Segoe UI" w:cs="Segoe UI"/>
          <w:b/>
          <w:i/>
          <w:sz w:val="24"/>
          <w:szCs w:val="24"/>
          <w:lang w:eastAsia="es-DO"/>
        </w:rPr>
      </w:pPr>
    </w:p>
    <w:p w14:paraId="7AC05DE9" w14:textId="626F99D7" w:rsidR="0085529B" w:rsidRPr="00273D92" w:rsidRDefault="0085529B" w:rsidP="00273D92"/>
    <w:sectPr w:rsidR="0085529B" w:rsidRPr="00273D92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2E0E6" w14:textId="77777777" w:rsidR="00AE2421" w:rsidRDefault="00AE2421" w:rsidP="00C06B3D">
      <w:pPr>
        <w:spacing w:after="0" w:line="240" w:lineRule="auto"/>
      </w:pPr>
      <w:r>
        <w:separator/>
      </w:r>
    </w:p>
  </w:endnote>
  <w:endnote w:type="continuationSeparator" w:id="0">
    <w:p w14:paraId="3C484BA7" w14:textId="77777777" w:rsidR="00AE2421" w:rsidRDefault="00AE2421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513D1E"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D333E" w14:textId="77777777" w:rsidR="00AE2421" w:rsidRDefault="00AE2421" w:rsidP="00C06B3D">
      <w:pPr>
        <w:spacing w:after="0" w:line="240" w:lineRule="auto"/>
      </w:pPr>
      <w:r>
        <w:separator/>
      </w:r>
    </w:p>
  </w:footnote>
  <w:footnote w:type="continuationSeparator" w:id="0">
    <w:p w14:paraId="62143365" w14:textId="77777777" w:rsidR="00AE2421" w:rsidRDefault="00AE2421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01F74"/>
    <w:multiLevelType w:val="hybridMultilevel"/>
    <w:tmpl w:val="9414378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B13DE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D6995"/>
    <w:multiLevelType w:val="hybridMultilevel"/>
    <w:tmpl w:val="957AFC2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13878"/>
    <w:multiLevelType w:val="hybridMultilevel"/>
    <w:tmpl w:val="31A287C6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19FC"/>
    <w:rsid w:val="00163278"/>
    <w:rsid w:val="001778AD"/>
    <w:rsid w:val="001A0602"/>
    <w:rsid w:val="001D6524"/>
    <w:rsid w:val="001E145F"/>
    <w:rsid w:val="002225A7"/>
    <w:rsid w:val="00233A4F"/>
    <w:rsid w:val="002348DA"/>
    <w:rsid w:val="00271A1B"/>
    <w:rsid w:val="00273D92"/>
    <w:rsid w:val="00284609"/>
    <w:rsid w:val="002A3303"/>
    <w:rsid w:val="002D7F02"/>
    <w:rsid w:val="00312A66"/>
    <w:rsid w:val="003401CD"/>
    <w:rsid w:val="00346356"/>
    <w:rsid w:val="00365A0E"/>
    <w:rsid w:val="00387996"/>
    <w:rsid w:val="003903A8"/>
    <w:rsid w:val="003A2543"/>
    <w:rsid w:val="003B50CC"/>
    <w:rsid w:val="003D5688"/>
    <w:rsid w:val="00421553"/>
    <w:rsid w:val="004C43F1"/>
    <w:rsid w:val="004F749C"/>
    <w:rsid w:val="00513D1E"/>
    <w:rsid w:val="005251B6"/>
    <w:rsid w:val="00572687"/>
    <w:rsid w:val="00577AAA"/>
    <w:rsid w:val="005D2E7D"/>
    <w:rsid w:val="005F01EB"/>
    <w:rsid w:val="0060122E"/>
    <w:rsid w:val="006248CD"/>
    <w:rsid w:val="006B7D30"/>
    <w:rsid w:val="006F1A13"/>
    <w:rsid w:val="00721608"/>
    <w:rsid w:val="00736CB7"/>
    <w:rsid w:val="007F61C3"/>
    <w:rsid w:val="00851698"/>
    <w:rsid w:val="0085529B"/>
    <w:rsid w:val="008813A5"/>
    <w:rsid w:val="008A4A32"/>
    <w:rsid w:val="008B7E98"/>
    <w:rsid w:val="008F0860"/>
    <w:rsid w:val="008F4D89"/>
    <w:rsid w:val="0092028E"/>
    <w:rsid w:val="00943330"/>
    <w:rsid w:val="00997D57"/>
    <w:rsid w:val="00A12EAB"/>
    <w:rsid w:val="00A64887"/>
    <w:rsid w:val="00A8460A"/>
    <w:rsid w:val="00A914E7"/>
    <w:rsid w:val="00AC70C8"/>
    <w:rsid w:val="00AE2421"/>
    <w:rsid w:val="00AE34A0"/>
    <w:rsid w:val="00B542F2"/>
    <w:rsid w:val="00B7196B"/>
    <w:rsid w:val="00BC7954"/>
    <w:rsid w:val="00BF78DA"/>
    <w:rsid w:val="00C01299"/>
    <w:rsid w:val="00C06B3D"/>
    <w:rsid w:val="00C71ED0"/>
    <w:rsid w:val="00CD7217"/>
    <w:rsid w:val="00D02B9F"/>
    <w:rsid w:val="00D41F63"/>
    <w:rsid w:val="00D71F95"/>
    <w:rsid w:val="00D955DB"/>
    <w:rsid w:val="00DA0ACC"/>
    <w:rsid w:val="00DE6B99"/>
    <w:rsid w:val="00E03B1A"/>
    <w:rsid w:val="00E60E44"/>
    <w:rsid w:val="00E77082"/>
    <w:rsid w:val="00E77547"/>
    <w:rsid w:val="00E80C9F"/>
    <w:rsid w:val="00EB10E4"/>
    <w:rsid w:val="00EE26C1"/>
    <w:rsid w:val="00EE7E9D"/>
    <w:rsid w:val="00F61E58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3DD35D4F"/>
  <w15:docId w15:val="{C67AD5F8-CDDD-4CCD-B4B0-E70DEEF2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link w:val="PrrafodelistaCar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BC7954"/>
    <w:rPr>
      <w:rFonts w:ascii="Calibri" w:hAnsi="Calibri" w:cs="Times New Roman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calvent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FF5D1-0E63-4830-8C8B-014B38028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814</Words>
  <Characters>4477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21</cp:revision>
  <cp:lastPrinted>2022-06-20T13:41:00Z</cp:lastPrinted>
  <dcterms:created xsi:type="dcterms:W3CDTF">2021-02-04T16:01:00Z</dcterms:created>
  <dcterms:modified xsi:type="dcterms:W3CDTF">2022-06-20T14:04:00Z</dcterms:modified>
</cp:coreProperties>
</file>